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7756"/>
      </w:tblGrid>
      <w:tr w:rsidR="00AF7E54" w:rsidRPr="00AF7E54" w14:paraId="6410AFA8" w14:textId="77777777" w:rsidTr="00AF7E54">
        <w:trPr>
          <w:trHeight w:val="91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B711" w14:textId="77777777" w:rsidR="00AF7E54" w:rsidRPr="00AF7E54" w:rsidRDefault="00AF7E54" w:rsidP="00AF7E5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ỦY BAN NHÂN DÂN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  <w:t>THÀNH PHỐ HÀ NỘI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  <w:t>-------</w:t>
            </w:r>
          </w:p>
          <w:p w14:paraId="433BFA7E" w14:textId="77777777" w:rsidR="00AF7E54" w:rsidRPr="00AF7E54" w:rsidRDefault="00AF7E54" w:rsidP="00AF7E5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bookmarkStart w:id="0" w:name="_GoBack"/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Số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 20/2017/QĐ-UBND</w:t>
            </w:r>
            <w:bookmarkEnd w:id="0"/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7C3A" w14:textId="1E837B96" w:rsidR="00AF7E54" w:rsidRPr="00AF7E54" w:rsidRDefault="00AF7E54" w:rsidP="00AF7E54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           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                        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Độc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lập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-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Tự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do -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Hạnh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phúc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 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                                             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---------------</w:t>
            </w:r>
          </w:p>
          <w:p w14:paraId="407BAFB6" w14:textId="77777777" w:rsidR="00AF7E54" w:rsidRPr="00AF7E54" w:rsidRDefault="00AF7E54" w:rsidP="00AF7E5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Hà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Nội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 01 </w:t>
            </w: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tháng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 06 </w:t>
            </w: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 2017</w:t>
            </w:r>
          </w:p>
        </w:tc>
      </w:tr>
    </w:tbl>
    <w:p w14:paraId="6F2FB85D" w14:textId="77777777" w:rsidR="00AF7E54" w:rsidRPr="00AF7E54" w:rsidRDefault="00AF7E54" w:rsidP="00AF7E54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4C0BD0D" w14:textId="77777777" w:rsidR="00AF7E54" w:rsidRPr="00AF7E54" w:rsidRDefault="00AF7E54" w:rsidP="00AF7E54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121598A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loai_1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QUYẾT ĐỊNH</w:t>
      </w:r>
      <w:bookmarkEnd w:id="1"/>
    </w:p>
    <w:p w14:paraId="3774D75A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loai_1_name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BAN HÀNH QUY ĐỊNH VỀ HẠN MỨC GIAO ĐẤT; HẠN MỨC CÔNG NHẬN QUYỀN SỬ DỤNG ĐẤT; KÍCH THƯỚC, DIỆN TÍCH ĐẤT Ở TỐI THIỂU ĐƯỢC PHÉP TÁCH THỬA CHO HỘ GIA ĐÌNH, CÁ NHÂN TRÊN ĐỊA BÀN THÀNH PHỐ HÀ NỘI.</w:t>
      </w:r>
      <w:bookmarkEnd w:id="2"/>
    </w:p>
    <w:p w14:paraId="187677D5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-------------------------</w:t>
      </w:r>
    </w:p>
    <w:p w14:paraId="13DFDB95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ỦY BAN NHÂN DÂN THÀNH PHỐ HÀ NỘI</w:t>
      </w:r>
    </w:p>
    <w:p w14:paraId="0DF79542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E25CC4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Tổ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chức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phương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19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 6 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2015;</w:t>
      </w:r>
    </w:p>
    <w:p w14:paraId="3B1BC98B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29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2013;</w:t>
      </w:r>
    </w:p>
    <w:p w14:paraId="340FA10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18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4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2014;</w:t>
      </w:r>
    </w:p>
    <w:p w14:paraId="56A25B7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2014;</w:t>
      </w:r>
    </w:p>
    <w:p w14:paraId="2D9BEC1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Thủ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đô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2012;</w:t>
      </w:r>
    </w:p>
    <w:p w14:paraId="51BC7AC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43/2014/NĐ-CP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2014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chi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tiết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2013;</w:t>
      </w:r>
    </w:p>
    <w:p w14:paraId="46C00BE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45/2014/NĐ-CP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2014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về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thu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tiền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;</w:t>
      </w:r>
    </w:p>
    <w:p w14:paraId="50945E7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99/2015/NĐ-CP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10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chi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tiết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hướng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dẫn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ở;</w:t>
      </w:r>
    </w:p>
    <w:p w14:paraId="66F845F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01/2017/NĐ-CP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06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2017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sửa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đổi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bổ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sung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chitiết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;</w:t>
      </w:r>
    </w:p>
    <w:p w14:paraId="5DA09C3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Thông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tư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02/2015/TT-BTNMT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27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2015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Bộ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Tài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nguyên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Môi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chi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tiết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43/2014/NĐ-CP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44/2014/NĐ-CP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15/5/2014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;</w:t>
      </w:r>
    </w:p>
    <w:p w14:paraId="759616D6" w14:textId="77777777" w:rsidR="00AF7E54" w:rsidRPr="00AF7E54" w:rsidRDefault="00AF7E54" w:rsidP="00AF7E54">
      <w:pPr>
        <w:spacing w:after="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Xét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đề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Sở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Tài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nguyên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Môi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Tờ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trình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2133/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TTr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-STNMT-CCQLĐĐ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21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2017;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Báo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cáo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thẩm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399/STP-VBPQ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13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2017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Sở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Tư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pháp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,</w:t>
      </w:r>
    </w:p>
    <w:p w14:paraId="19F711AC" w14:textId="77777777" w:rsidR="00AF7E54" w:rsidRPr="00AF7E54" w:rsidRDefault="00AF7E54" w:rsidP="00AF7E54">
      <w:pPr>
        <w:spacing w:after="0" w:line="330" w:lineRule="atLeast"/>
        <w:ind w:firstLine="72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14:paraId="366DA5C3" w14:textId="77777777" w:rsidR="00AF7E54" w:rsidRPr="00AF7E54" w:rsidRDefault="00AF7E54" w:rsidP="00AF7E54">
      <w:pPr>
        <w:spacing w:after="0" w:line="330" w:lineRule="atLeast"/>
        <w:ind w:firstLine="72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QUYẾT ĐỊNH:</w:t>
      </w:r>
    </w:p>
    <w:p w14:paraId="277CFF1C" w14:textId="77777777" w:rsidR="00AF7E54" w:rsidRPr="00AF7E54" w:rsidRDefault="00AF7E54" w:rsidP="00AF7E54">
      <w:pPr>
        <w:spacing w:after="0" w:line="330" w:lineRule="atLeast"/>
        <w:ind w:firstLine="72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14:paraId="0153A3C7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ieu_1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1.</w:t>
      </w:r>
      <w:bookmarkEnd w:id="3"/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4" w:name="dieu_1_name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Ban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kèm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kích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thước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thiểu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>.</w:t>
      </w:r>
      <w:bookmarkEnd w:id="4"/>
    </w:p>
    <w:p w14:paraId="00BEAB2A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ieu_2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2.</w:t>
      </w:r>
      <w:bookmarkEnd w:id="5"/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6" w:name="dieu_2_name"/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hiệu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lực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kể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11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tháng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6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2017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thế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22/2014/QĐ-UBND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20/6/2014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UBND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dung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thẩm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UBND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2013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kích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thước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thiểu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bàn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>.</w:t>
      </w:r>
      <w:bookmarkEnd w:id="6"/>
    </w:p>
    <w:p w14:paraId="2DB921A2" w14:textId="77777777" w:rsidR="00AF7E54" w:rsidRPr="00AF7E54" w:rsidRDefault="00AF7E54" w:rsidP="00AF7E54">
      <w:pPr>
        <w:spacing w:after="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ieu_3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3.</w:t>
      </w:r>
      <w:bookmarkEnd w:id="7"/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bookmarkStart w:id="8" w:name="dieu_3_name"/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Chánh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Văn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phòng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Giám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đốc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Sở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ban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ngành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Chủ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tịch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Chủ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tịch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UBND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phường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trấn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tổ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chức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liên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quan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chịu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trách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nhiệm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222222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222222"/>
          <w:sz w:val="24"/>
          <w:szCs w:val="24"/>
        </w:rPr>
        <w:t>./.</w:t>
      </w:r>
      <w:bookmarkEnd w:id="8"/>
    </w:p>
    <w:p w14:paraId="324C0BBE" w14:textId="77777777" w:rsidR="00AF7E54" w:rsidRPr="00AF7E54" w:rsidRDefault="00AF7E54" w:rsidP="00AF7E54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12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6363"/>
      </w:tblGrid>
      <w:tr w:rsidR="00AF7E54" w:rsidRPr="00AF7E54" w14:paraId="7969130F" w14:textId="77777777" w:rsidTr="00AF7E5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58F2" w14:textId="77777777" w:rsidR="00AF7E54" w:rsidRPr="00AF7E54" w:rsidRDefault="00AF7E54" w:rsidP="00AF7E54">
            <w:pPr>
              <w:spacing w:before="100" w:beforeAutospacing="1" w:after="100" w:afterAutospacing="1" w:line="330" w:lineRule="atLeast"/>
              <w:divId w:val="1337927757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>Nơi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>nhận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>:</w:t>
            </w:r>
            <w:r w:rsidRPr="00AF7E5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br/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Như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Điều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3;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Thủ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tướng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Chính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phủ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 </w:t>
            </w:r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để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b/c)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Đ/c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Bí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thư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Thành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ủy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 </w:t>
            </w:r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để</w:t>
            </w:r>
            <w:proofErr w:type="spellEnd"/>
            <w:r w:rsidRPr="00AF7E54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 xml:space="preserve"> b/c)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Văn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phòng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Chính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phủ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Bộ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Tài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nguyên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và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Môi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trường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Tư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pháp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Nội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vụ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Tài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chính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Thường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trực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Thành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ủy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Thường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trực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HĐND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Thành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phố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Chủ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tịch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UBND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Thành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phố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Phó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Chủ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tịch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UBND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Thành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phố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Cục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Kiểm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tra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văn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bản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QPPL (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Bộ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Tư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pháp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);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Văn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phòng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Thành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ủy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Văn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phòng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Đoàn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ĐBQH TP HN;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Văn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phòng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HĐND TP;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Cổng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TTĐT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Chính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phủ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Cổng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Giao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tiếp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điện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tử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TP; 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VP UBND TP: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P.CVP, TKBT, TH, ĐT, KT, NC, KGVX;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Trung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tâm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tin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học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công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báo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Lưu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: VT,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ĐTqn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00BC" w14:textId="77777777" w:rsidR="00AF7E54" w:rsidRPr="00AF7E54" w:rsidRDefault="00AF7E54" w:rsidP="00AF7E5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TM. ỦY BAN NHÂN DÂN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  <w:t>CHỦ TỊCH</w:t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Nguyễn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Đức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Chung</w:t>
            </w:r>
          </w:p>
        </w:tc>
      </w:tr>
    </w:tbl>
    <w:p w14:paraId="4F0D181D" w14:textId="77777777" w:rsidR="00AF7E54" w:rsidRPr="00AF7E54" w:rsidRDefault="00AF7E54" w:rsidP="00AF7E54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462FF81" w14:textId="77777777" w:rsidR="00AF7E54" w:rsidRPr="00AF7E54" w:rsidRDefault="00AF7E54" w:rsidP="00AF7E54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4F0D214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loai_2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QUY ĐỊNH</w:t>
      </w:r>
      <w:bookmarkEnd w:id="9"/>
    </w:p>
    <w:p w14:paraId="45B8176A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0" w:name="loai_2_name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VỀ HẠN MỨC GIAO ĐẤT; HẠN MỨC CÔNG NHẬN QUYỀN SỬ DỤNG ĐẤT; KÍCH THƯỚC, DIỆN TÍCH ĐẤT Ở TỐI THIỂU ĐƯỢC PHÉP TÁCH THỬA CHO HỘ GIA ĐÌNH, CÁ NHÂN TRÊN ĐỊA BÀN THÀNH PHỐ HÀ NỘI.</w:t>
      </w:r>
      <w:bookmarkEnd w:id="10"/>
      <w:r w:rsidRPr="00AF7E54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(Ban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kèm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 20/2017/QĐ-UBND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01/6/2017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)</w:t>
      </w:r>
    </w:p>
    <w:p w14:paraId="426728A8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A8F852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1" w:name="dieu_1_1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1.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trống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đồi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trọc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mặt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nhóm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chưa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đưa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vào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hoạch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bookmarkEnd w:id="11"/>
      <w:proofErr w:type="spellEnd"/>
    </w:p>
    <w:p w14:paraId="3EF3237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trống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trọc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nhóm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nuôi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thủy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ta;</w:t>
      </w:r>
    </w:p>
    <w:p w14:paraId="10A5972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trống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trọc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nhóm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lâu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rừng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xuất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05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ta.</w:t>
      </w:r>
    </w:p>
    <w:p w14:paraId="3BA5839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2" w:name="dieu_2_1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2.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nông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nghiệp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tự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khai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hoang</w:t>
      </w:r>
      <w:bookmarkEnd w:id="12"/>
      <w:proofErr w:type="spellEnd"/>
    </w:p>
    <w:p w14:paraId="57B64DC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nghiệp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do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phù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nghiệp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quan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thẩm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duyệt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07D3039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nuôi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thủy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ta.</w:t>
      </w:r>
    </w:p>
    <w:p w14:paraId="453E97F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lâu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rừng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xuất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05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ta.</w:t>
      </w:r>
    </w:p>
    <w:p w14:paraId="0D57E6B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vượt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1, 2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chuyển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sang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vượt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03A14F5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0"/>
          <w:szCs w:val="20"/>
        </w:rPr>
        <w:t>.</w:t>
      </w:r>
      <w:bookmarkStart w:id="13" w:name="dieu_3_1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3.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ở,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bookmarkEnd w:id="13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ở</w:t>
      </w:r>
    </w:p>
    <w:p w14:paraId="4F42A9C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cư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thôn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cư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thôn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bàn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1"/>
        <w:gridCol w:w="1509"/>
      </w:tblGrid>
      <w:tr w:rsidR="00AF7E54" w:rsidRPr="00AF7E54" w14:paraId="5212A8E0" w14:textId="77777777" w:rsidTr="00AF7E54"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75E81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Khu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159B9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Mức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tối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thiểu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BE666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Mức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tối</w:t>
            </w:r>
            <w:proofErr w:type="spellEnd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đa</w:t>
            </w:r>
            <w:proofErr w:type="spellEnd"/>
          </w:p>
        </w:tc>
      </w:tr>
      <w:tr w:rsidR="00AF7E54" w:rsidRPr="00AF7E54" w14:paraId="68A8D83F" w14:textId="77777777" w:rsidTr="00AF7E54"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0E580B4" w14:textId="77777777" w:rsidR="00AF7E54" w:rsidRPr="00AF7E54" w:rsidRDefault="00AF7E54" w:rsidP="00AF7E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73F5F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71261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  <w:tr w:rsidR="00AF7E54" w:rsidRPr="00AF7E54" w14:paraId="63770771" w14:textId="77777777" w:rsidTr="00AF7E54"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07CCDE4" w14:textId="77777777" w:rsidR="00AF7E54" w:rsidRPr="00AF7E54" w:rsidRDefault="00AF7E54" w:rsidP="00AF7E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xã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giáp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ranh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quận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và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thị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trấn</w:t>
            </w:r>
            <w:proofErr w:type="spellEnd"/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377F9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E64A0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  <w:tr w:rsidR="00AF7E54" w:rsidRPr="00AF7E54" w14:paraId="2B633235" w14:textId="77777777" w:rsidTr="00AF7E54"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657887" w14:textId="77777777" w:rsidR="00AF7E54" w:rsidRPr="00AF7E54" w:rsidRDefault="00AF7E54" w:rsidP="00AF7E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xã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vùng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đồng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CDC443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F036C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180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  <w:tr w:rsidR="00AF7E54" w:rsidRPr="00AF7E54" w14:paraId="0614BA83" w14:textId="77777777" w:rsidTr="00AF7E54"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89EB48" w14:textId="77777777" w:rsidR="00AF7E54" w:rsidRPr="00AF7E54" w:rsidRDefault="00AF7E54" w:rsidP="00AF7E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xã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vùng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trung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du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13DC56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8850B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  <w:tr w:rsidR="00AF7E54" w:rsidRPr="00AF7E54" w14:paraId="55DE3372" w14:textId="77777777" w:rsidTr="00AF7E54"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43D9F4" w14:textId="77777777" w:rsidR="00AF7E54" w:rsidRPr="00AF7E54" w:rsidRDefault="00AF7E54" w:rsidP="00AF7E54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Các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xã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vùng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miền</w:t>
            </w:r>
            <w:proofErr w:type="spellEnd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núi</w:t>
            </w:r>
            <w:proofErr w:type="spellEnd"/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0D3F7B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9235C" w14:textId="77777777" w:rsidR="00AF7E54" w:rsidRPr="00AF7E54" w:rsidRDefault="00AF7E54" w:rsidP="00AF7E54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300 m</w:t>
            </w:r>
            <w:r w:rsidRPr="00AF7E54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</w:rPr>
              <w:t>2</w:t>
            </w:r>
          </w:p>
        </w:tc>
      </w:tr>
    </w:tbl>
    <w:p w14:paraId="48689101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loại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Phụ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lục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kèm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E8F9F1D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mua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gắn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triển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quan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thẩm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duyệt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6D80DE1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ổn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20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43/2014/NĐ-CP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15/5/2014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vượt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9992B67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ổn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43/2014/NĐ-CP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15/5/2014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05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vượt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423173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4" w:name="dieu_4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4.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vườn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ao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4,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103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đai</w:t>
      </w:r>
      <w:bookmarkEnd w:id="14"/>
      <w:proofErr w:type="spellEnd"/>
    </w:p>
    <w:p w14:paraId="513F4CB6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vườn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4,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103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bàn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046EBBE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a)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Hoàn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Kiếm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Hai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Ba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Hồ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Cầu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Thanh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Xuân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Hoàng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Mai, Long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Biên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 120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72A97C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b)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Bắc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Liêm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Nam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Liêm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 180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80E975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c)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180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300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52D0FF2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d)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trấn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 200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36DA7D5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đ)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 300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7079FE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e)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du: 400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A8EB30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f)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 500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F76869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loại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Phụ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lục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kèm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115CBC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2.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nêu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cứ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15/10/1993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20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43/2014/NĐ-CP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15/5/2014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C37A6B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vườn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18/10/1980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01/7/2004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loại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tờ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về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1, 2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100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18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43/2014/NĐ-CP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15/5/2014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16,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01/2017/NĐ-CP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06/01/2017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Chính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tờ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ghi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rõ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E030235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05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khẩu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cộng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thêm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nguyên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tắc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khẩu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thứ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05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mỗi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khẩu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cộng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thêm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0,2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phẩy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ở),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tổng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vượt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5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4789BA5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khẩu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tổng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khẩu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khẩu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mỗi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chỉ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những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quan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hệ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cha,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mẹ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con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em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ruột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cháu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ruột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nộp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hồ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lệ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xin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1F7F47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5" w:name="dieu_5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5.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về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kích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thước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thiểu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việc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quản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lý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kích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thước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nhỏ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hơn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thiểu</w:t>
      </w:r>
      <w:bookmarkEnd w:id="15"/>
      <w:proofErr w:type="spellEnd"/>
    </w:p>
    <w:p w14:paraId="206A45C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việc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đảm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2804E21B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a)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rộng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sâu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so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chỉ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mét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5E62F05C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b)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nhỏ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30 m</w:t>
      </w:r>
      <w:r w:rsidRPr="00AF7E54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trấn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nhỏ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50%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giao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thiểu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4ABEF5D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2.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chia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ngõ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riêng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ngõ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cắt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2m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1m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trấn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chia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đảm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30A728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62D8007A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a)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nằm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triển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quan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thẩm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duyệt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3972FF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b)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gắn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hoàn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tục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mua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A1738C6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c)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gắn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biệt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hữu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tư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hóa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mục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biệt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tồn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tôn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chế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lý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biệt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cũ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1954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bàn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do UBND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duyệt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7E9BFF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d)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báo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hồi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2013;</w:t>
      </w:r>
    </w:p>
    <w:p w14:paraId="3D7593B6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đ)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luật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2B07D1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Nếu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xin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việc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đảm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1, 2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kề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đảm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1, 2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việc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đảm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1, 2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phép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7BAC7C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5.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10/4/2009 (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58/2009/QĐ-UBND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UBND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hiệu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thước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nhỏ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thiểu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Việc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xây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ở,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38DCAAB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6.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làm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thủ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tục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chuyển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đổi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chuyển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nhượng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tặng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thế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chấp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góp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vốn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thửa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đảm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bảo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1, 2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1A4EB9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6" w:name="dieu_6"/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6.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Điều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khoản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thi</w:t>
      </w:r>
      <w:proofErr w:type="spellEnd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hành</w:t>
      </w:r>
      <w:bookmarkEnd w:id="16"/>
      <w:proofErr w:type="spellEnd"/>
    </w:p>
    <w:p w14:paraId="1EF0030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thực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nếu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sinh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vướng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nhiệm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tổng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ánh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kịp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về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Sở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Tài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nguyên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Môi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tổng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báo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cáo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xem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xét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8B0522B" w14:textId="77777777" w:rsidR="00AF7E54" w:rsidRPr="00AF7E54" w:rsidRDefault="00AF7E54" w:rsidP="00AF7E54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F4D31C9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7" w:name="chuong_pl_1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PHỤ LỤC:</w:t>
      </w:r>
      <w:bookmarkEnd w:id="17"/>
    </w:p>
    <w:p w14:paraId="6F7BB0BA" w14:textId="77777777" w:rsidR="00AF7E54" w:rsidRPr="00AF7E54" w:rsidRDefault="00AF7E54" w:rsidP="00AF7E54">
      <w:pPr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8" w:name="chuong_pl_1_name"/>
      <w:r w:rsidRPr="00AF7E54">
        <w:rPr>
          <w:rFonts w:ascii="Arial" w:eastAsia="Times New Roman" w:hAnsi="Arial" w:cs="Arial"/>
          <w:b/>
          <w:bCs/>
          <w:color w:val="222222"/>
          <w:sz w:val="24"/>
          <w:szCs w:val="24"/>
        </w:rPr>
        <w:t>BẢNG PHÂN LOẠI CÁC XÃ</w:t>
      </w:r>
      <w:bookmarkEnd w:id="18"/>
      <w:r w:rsidRPr="00AF7E54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(Ban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kèm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theo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Quyết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định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số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20/QĐ-UBND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ngày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01/6/2017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của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Ủy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ban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nhân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dân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thành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phố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Hà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Nội</w:t>
      </w:r>
      <w:proofErr w:type="spellEnd"/>
      <w:r w:rsidRPr="00AF7E54">
        <w:rPr>
          <w:rFonts w:ascii="Arial" w:eastAsia="Times New Roman" w:hAnsi="Arial" w:cs="Arial"/>
          <w:i/>
          <w:iCs/>
          <w:color w:val="333333"/>
          <w:sz w:val="24"/>
          <w:szCs w:val="24"/>
        </w:rPr>
        <w:t>)</w:t>
      </w:r>
    </w:p>
    <w:p w14:paraId="7737BF1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0A9AD71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Gia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Lâm</w:t>
      </w:r>
      <w:proofErr w:type="spellEnd"/>
    </w:p>
    <w:p w14:paraId="786F9FCA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Cổ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Bi,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Dư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D51FD1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D68681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Thanh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Trì</w:t>
      </w:r>
      <w:proofErr w:type="spellEnd"/>
    </w:p>
    <w:p w14:paraId="296E7F3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Triều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Thanh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Liệt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Tứ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Hiệp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Tam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Hiệp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Hữu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Hòa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Mỹ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Thanh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Oai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F125B3D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E42DDD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Hoài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Đức</w:t>
      </w:r>
      <w:proofErr w:type="spellEnd"/>
    </w:p>
    <w:p w14:paraId="76467C0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La, La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Phù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Khánh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Kim Chung,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Di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91094A6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C236D0F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Thanh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Oai</w:t>
      </w:r>
      <w:proofErr w:type="spellEnd"/>
    </w:p>
    <w:p w14:paraId="561BC09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Cao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Viên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Bích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Hòa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Cự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Khê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1B899DC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1F32C1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Chương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Mỹ</w:t>
      </w:r>
      <w:proofErr w:type="spellEnd"/>
    </w:p>
    <w:p w14:paraId="08EF5DC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Phụng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Châu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Hương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1ED6997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BF8BEF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Ba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Vì</w:t>
      </w:r>
      <w:proofErr w:type="spellEnd"/>
    </w:p>
    <w:p w14:paraId="40C1EB6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Ba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Ba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Vì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Khánh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Thượng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Minh Quang,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Lĩnh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Hòa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Bài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A70D61C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du: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Cẩm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Lĩnh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Phú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Đà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Mỹ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Thụy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An,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Tiên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Phong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Tòng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Bạt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Vật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5D2EE81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81487C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Mỹ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Đức</w:t>
      </w:r>
      <w:proofErr w:type="spellEnd"/>
    </w:p>
    <w:p w14:paraId="16A9D0FC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An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Phú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BC3186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68C24D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Quốc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Oai</w:t>
      </w:r>
      <w:proofErr w:type="spellEnd"/>
    </w:p>
    <w:p w14:paraId="596E753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Phú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Mãn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Xuân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D93BDC1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du: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Hòa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Phú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7E3A234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2D27FED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9.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Sóc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Sơn</w:t>
      </w:r>
      <w:proofErr w:type="spellEnd"/>
    </w:p>
    <w:p w14:paraId="40829B8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du: Nam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Bắc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Minh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Trí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Minh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Phú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D95BAF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431D08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10.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Thị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Tây</w:t>
      </w:r>
      <w:proofErr w:type="spellEnd"/>
    </w:p>
    <w:p w14:paraId="26187846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du: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Lâm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Thanh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Mỹ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Xuân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Cổ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Kim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3CACAA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11.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Thạch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Thất</w:t>
      </w:r>
      <w:proofErr w:type="spellEnd"/>
    </w:p>
    <w:p w14:paraId="65CC5AFA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miền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núi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Tiến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Xuân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BCB1683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du: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Kiệm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Bình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Hạ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Trúc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Thạch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Hòa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Thượng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Cẩm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Yên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92B9CCB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92B05AA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12.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Đan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Phượng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14:paraId="12853682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giáp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ranh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Lập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Liên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Tân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Hội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B88D45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còn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lại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B4719D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13.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Đông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Anh: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1B85B0D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14.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Mê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Linh: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889CFE0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15.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Phú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Xuyên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9F88929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16.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Phúc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Thọ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EB2B9FE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17.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Thường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Tín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99625C8" w14:textId="77777777" w:rsidR="00AF7E54" w:rsidRPr="00AF7E54" w:rsidRDefault="00AF7E54" w:rsidP="00AF7E54">
      <w:pPr>
        <w:spacing w:after="120" w:line="33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18.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Huyện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Ứng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Hòa</w:t>
      </w:r>
      <w:proofErr w:type="spellEnd"/>
      <w:r w:rsidRPr="00AF7E54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Pr="00AF7E5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thuộc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vùng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F7E54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AF7E5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2015A79" w14:textId="77777777" w:rsidR="00216166" w:rsidRDefault="00216166"/>
    <w:sectPr w:rsidR="0021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0"/>
    <w:rsid w:val="00216166"/>
    <w:rsid w:val="00AF7E54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9C80"/>
  <w15:chartTrackingRefBased/>
  <w15:docId w15:val="{CE0EFB3D-3528-43A0-9578-59E2FC7A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Hiep</dc:creator>
  <cp:keywords/>
  <dc:description/>
  <cp:lastModifiedBy>Hiep</cp:lastModifiedBy>
  <cp:revision>2</cp:revision>
  <dcterms:created xsi:type="dcterms:W3CDTF">2019-07-08T14:43:00Z</dcterms:created>
  <dcterms:modified xsi:type="dcterms:W3CDTF">2019-07-08T14:44:00Z</dcterms:modified>
</cp:coreProperties>
</file>